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741" w:rsidRDefault="00BA6741" w:rsidP="004D7A51">
      <w:pPr>
        <w:contextualSpacing/>
        <w:jc w:val="center"/>
        <w:rPr>
          <w:color w:val="000000"/>
        </w:rPr>
      </w:pPr>
    </w:p>
    <w:p w:rsidR="00AB4CB7" w:rsidRPr="002565F8" w:rsidRDefault="00AB4CB7" w:rsidP="004D7A51">
      <w:pPr>
        <w:contextualSpacing/>
        <w:jc w:val="center"/>
        <w:rPr>
          <w:sz w:val="10"/>
          <w:szCs w:val="10"/>
        </w:rPr>
      </w:pPr>
    </w:p>
    <w:tbl>
      <w:tblPr>
        <w:tblW w:w="4894" w:type="pct"/>
        <w:tblInd w:w="108" w:type="dxa"/>
        <w:tblBorders>
          <w:top w:val="single" w:sz="4" w:space="0" w:color="auto"/>
          <w:bottom w:val="single" w:sz="4" w:space="0" w:color="auto"/>
        </w:tblBorders>
        <w:tblLook w:val="00A0"/>
      </w:tblPr>
      <w:tblGrid>
        <w:gridCol w:w="9922"/>
      </w:tblGrid>
      <w:tr w:rsidR="00BA6741" w:rsidRPr="00455054" w:rsidTr="001E5673">
        <w:tc>
          <w:tcPr>
            <w:tcW w:w="5000" w:type="pct"/>
            <w:tcBorders>
              <w:top w:val="thickThinSmallGap" w:sz="18" w:space="0" w:color="auto"/>
              <w:bottom w:val="thinThickSmallGap" w:sz="18" w:space="0" w:color="auto"/>
            </w:tcBorders>
          </w:tcPr>
          <w:p w:rsidR="00BA6741" w:rsidRPr="001E5673" w:rsidRDefault="00BA6741" w:rsidP="001E5673">
            <w:pPr>
              <w:contextualSpacing/>
              <w:jc w:val="center"/>
              <w:rPr>
                <w:spacing w:val="-4"/>
                <w:sz w:val="20"/>
                <w:szCs w:val="20"/>
              </w:rPr>
            </w:pPr>
          </w:p>
          <w:p w:rsidR="00BA6741" w:rsidRPr="001E5673" w:rsidRDefault="00BA6741" w:rsidP="001E5673">
            <w:pPr>
              <w:contextualSpacing/>
              <w:jc w:val="center"/>
              <w:rPr>
                <w:b/>
                <w:spacing w:val="8"/>
              </w:rPr>
            </w:pPr>
            <w:r w:rsidRPr="001E5673">
              <w:rPr>
                <w:b/>
                <w:spacing w:val="-4"/>
                <w:sz w:val="56"/>
                <w:szCs w:val="56"/>
              </w:rPr>
              <w:t xml:space="preserve">П Р О К У Р А Т У Р А </w:t>
            </w:r>
          </w:p>
          <w:p w:rsidR="00BA6741" w:rsidRPr="001E5673" w:rsidRDefault="00BA6741" w:rsidP="001E5673">
            <w:pPr>
              <w:contextualSpacing/>
              <w:jc w:val="center"/>
              <w:rPr>
                <w:b/>
                <w:color w:val="000000"/>
                <w:spacing w:val="8"/>
              </w:rPr>
            </w:pPr>
            <w:r w:rsidRPr="001E5673">
              <w:rPr>
                <w:b/>
                <w:color w:val="000000"/>
                <w:spacing w:val="8"/>
              </w:rPr>
              <w:t xml:space="preserve">города </w:t>
            </w:r>
            <w:r w:rsidR="0043287C">
              <w:rPr>
                <w:b/>
                <w:color w:val="000000"/>
                <w:spacing w:val="8"/>
              </w:rPr>
              <w:t>Нижневартовска</w:t>
            </w:r>
          </w:p>
          <w:p w:rsidR="00BA6741" w:rsidRPr="001E5673" w:rsidRDefault="00BA6741" w:rsidP="001E5673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</w:tbl>
    <w:p w:rsidR="00674726" w:rsidRDefault="00674726" w:rsidP="0097374F">
      <w:pPr>
        <w:jc w:val="both"/>
        <w:rPr>
          <w:b/>
          <w:bCs/>
          <w:color w:val="000000" w:themeColor="text1"/>
        </w:rPr>
      </w:pPr>
    </w:p>
    <w:p w:rsidR="00E11B50" w:rsidRPr="00E11B50" w:rsidRDefault="00E11B50" w:rsidP="00AC1DF5">
      <w:pPr>
        <w:contextualSpacing/>
        <w:jc w:val="center"/>
        <w:rPr>
          <w:b/>
          <w:bCs/>
          <w:color w:val="000000" w:themeColor="text1"/>
        </w:rPr>
      </w:pPr>
      <w:r w:rsidRPr="00E11B50">
        <w:rPr>
          <w:b/>
          <w:bCs/>
          <w:color w:val="000000" w:themeColor="text1"/>
        </w:rPr>
        <w:t xml:space="preserve">О контроле за законностью поступления на счета </w:t>
      </w:r>
      <w:r w:rsidR="00AC1DF5">
        <w:rPr>
          <w:b/>
          <w:bCs/>
          <w:color w:val="000000" w:themeColor="text1"/>
        </w:rPr>
        <w:t xml:space="preserve">денежных </w:t>
      </w:r>
      <w:r w:rsidRPr="00E11B50">
        <w:rPr>
          <w:b/>
          <w:bCs/>
          <w:color w:val="000000" w:themeColor="text1"/>
        </w:rPr>
        <w:t>средств</w:t>
      </w:r>
    </w:p>
    <w:p w:rsidR="00E11B50" w:rsidRPr="00E11B50" w:rsidRDefault="00E11B50" w:rsidP="00E11B50">
      <w:pPr>
        <w:contextualSpacing/>
        <w:rPr>
          <w:color w:val="000000" w:themeColor="text1"/>
        </w:rPr>
      </w:pPr>
      <w:r w:rsidRPr="00E11B50">
        <w:rPr>
          <w:color w:val="000000" w:themeColor="text1"/>
        </w:rPr>
        <w:t> </w:t>
      </w:r>
    </w:p>
    <w:p w:rsidR="00E11B50" w:rsidRPr="00E11B50" w:rsidRDefault="00E11B50" w:rsidP="00E11B50">
      <w:pPr>
        <w:shd w:val="clear" w:color="auto" w:fill="FFFFFF"/>
        <w:ind w:firstLine="709"/>
        <w:contextualSpacing/>
        <w:jc w:val="both"/>
        <w:rPr>
          <w:color w:val="000000" w:themeColor="text1"/>
        </w:rPr>
      </w:pPr>
      <w:r w:rsidRPr="00E11B50">
        <w:rPr>
          <w:color w:val="000000" w:themeColor="text1"/>
        </w:rPr>
        <w:t>Действующим законодательством о противодействии коррупции предусмотрено право государства обращать в доход Российской Федерации денежные средства, поступившие на счета лиц, об</w:t>
      </w:r>
      <w:bookmarkStart w:id="0" w:name="_GoBack"/>
      <w:bookmarkEnd w:id="0"/>
      <w:r w:rsidRPr="00E11B50">
        <w:rPr>
          <w:color w:val="000000" w:themeColor="text1"/>
        </w:rPr>
        <w:t>язанных представлять сведения о доходах, об имуществе и обязательствах имущественного характера, в случае, если сумма таких средств превышает совокупный доход этих лиц за отчетный период и предшествующие ему два года и в отношении них не представлены достоверные сведения, подтверждающие законность их получения.</w:t>
      </w:r>
    </w:p>
    <w:p w:rsidR="00E11B50" w:rsidRPr="00E11B50" w:rsidRDefault="00E11B50" w:rsidP="00E11B50">
      <w:pPr>
        <w:shd w:val="clear" w:color="auto" w:fill="FFFFFF"/>
        <w:ind w:firstLine="709"/>
        <w:contextualSpacing/>
        <w:jc w:val="both"/>
        <w:rPr>
          <w:color w:val="000000" w:themeColor="text1"/>
        </w:rPr>
      </w:pPr>
      <w:r w:rsidRPr="00E11B50">
        <w:rPr>
          <w:color w:val="000000" w:themeColor="text1"/>
        </w:rPr>
        <w:t>Подразделения кадровых служб по профилактике коррупционных и иных правонарушений в рамках проведения проверки достоверности и полноты сведений о доходах, об имуществе и обязательствах имущественного характера, обязаны выявлять указанные обстоятельства. Органами прокуратуры обеспечивается надзор за реализацией ими соответствующих функций.</w:t>
      </w:r>
    </w:p>
    <w:p w:rsidR="00E11B50" w:rsidRPr="00E11B50" w:rsidRDefault="00E11B50" w:rsidP="00E11B50">
      <w:pPr>
        <w:shd w:val="clear" w:color="auto" w:fill="FFFFFF"/>
        <w:ind w:firstLine="709"/>
        <w:contextualSpacing/>
        <w:jc w:val="both"/>
        <w:rPr>
          <w:color w:val="000000" w:themeColor="text1"/>
        </w:rPr>
      </w:pPr>
      <w:r w:rsidRPr="00E11B50">
        <w:rPr>
          <w:color w:val="000000" w:themeColor="text1"/>
        </w:rPr>
        <w:t xml:space="preserve">В случае если </w:t>
      </w:r>
      <w:r w:rsidR="00AC1DF5">
        <w:rPr>
          <w:color w:val="000000" w:themeColor="text1"/>
        </w:rPr>
        <w:t xml:space="preserve">денежные </w:t>
      </w:r>
      <w:r w:rsidRPr="00E11B50">
        <w:rPr>
          <w:color w:val="000000" w:themeColor="text1"/>
        </w:rPr>
        <w:t>средства были получены в сумме, превышающей общий доход за отчетный период и предыдущие два года, лица, проводящие такую проверку, обязаны запросить у проверяемого лица информацию, подтверждающую законность получения этих средств. Срок представления сведений о законности получения денежных средств составляет 15 рабочих дней с даты их истребования. Если проверяемое лицо не представляет сведения, подтверждающие законность получения денежных средств, материалы проверки направляются в органы прокуратуры для ее завершения.</w:t>
      </w:r>
    </w:p>
    <w:p w:rsidR="00E11B50" w:rsidRPr="00E11B50" w:rsidRDefault="00E11B50" w:rsidP="00E11B50">
      <w:pPr>
        <w:shd w:val="clear" w:color="auto" w:fill="FFFFFF"/>
        <w:ind w:firstLine="709"/>
        <w:contextualSpacing/>
        <w:jc w:val="both"/>
        <w:rPr>
          <w:color w:val="000000" w:themeColor="text1"/>
        </w:rPr>
      </w:pPr>
      <w:r w:rsidRPr="00E11B50">
        <w:rPr>
          <w:color w:val="000000" w:themeColor="text1"/>
        </w:rPr>
        <w:t xml:space="preserve">Кроме того, полномочия </w:t>
      </w:r>
      <w:r w:rsidR="00AC1DF5">
        <w:rPr>
          <w:color w:val="000000" w:themeColor="text1"/>
        </w:rPr>
        <w:t xml:space="preserve">по </w:t>
      </w:r>
      <w:r w:rsidRPr="00E11B50">
        <w:rPr>
          <w:color w:val="000000" w:themeColor="text1"/>
        </w:rPr>
        <w:t>пров</w:t>
      </w:r>
      <w:r w:rsidR="00AC1DF5">
        <w:rPr>
          <w:color w:val="000000" w:themeColor="text1"/>
        </w:rPr>
        <w:t>едению</w:t>
      </w:r>
      <w:r w:rsidRPr="00E11B50">
        <w:rPr>
          <w:color w:val="000000" w:themeColor="text1"/>
        </w:rPr>
        <w:t xml:space="preserve"> проверк</w:t>
      </w:r>
      <w:r w:rsidR="00AC1DF5">
        <w:rPr>
          <w:color w:val="000000" w:themeColor="text1"/>
        </w:rPr>
        <w:t>и</w:t>
      </w:r>
      <w:r w:rsidRPr="00E11B50">
        <w:rPr>
          <w:color w:val="000000" w:themeColor="text1"/>
        </w:rPr>
        <w:t xml:space="preserve"> законности получения денежных средств предоставлены прокурорам в случае увольнения проверяемого лица до завершения проверки кадровым подразделением.</w:t>
      </w:r>
    </w:p>
    <w:p w:rsidR="00E11B50" w:rsidRPr="00E11B50" w:rsidRDefault="00E11B50" w:rsidP="00E11B50">
      <w:pPr>
        <w:shd w:val="clear" w:color="auto" w:fill="FFFFFF"/>
        <w:ind w:firstLine="709"/>
        <w:contextualSpacing/>
        <w:jc w:val="both"/>
        <w:rPr>
          <w:color w:val="000000" w:themeColor="text1"/>
        </w:rPr>
      </w:pPr>
      <w:r w:rsidRPr="00E11B50">
        <w:rPr>
          <w:color w:val="000000" w:themeColor="text1"/>
        </w:rPr>
        <w:t xml:space="preserve">При непредставлении проверяемым лицом сведений, подтверждающих законность получения денежных средств, прокурор наделен правом обращаться в суд с заявлением об </w:t>
      </w:r>
      <w:r w:rsidR="00AC1DF5">
        <w:rPr>
          <w:color w:val="000000" w:themeColor="text1"/>
        </w:rPr>
        <w:t xml:space="preserve">их </w:t>
      </w:r>
      <w:r w:rsidRPr="00E11B50">
        <w:rPr>
          <w:color w:val="000000" w:themeColor="text1"/>
        </w:rPr>
        <w:t xml:space="preserve">обращении в доход Российской Федерации. </w:t>
      </w:r>
    </w:p>
    <w:p w:rsidR="00E11B50" w:rsidRPr="00E11B50" w:rsidRDefault="00E11B50" w:rsidP="00E11B50">
      <w:pPr>
        <w:shd w:val="clear" w:color="auto" w:fill="FFFFFF"/>
        <w:ind w:firstLine="709"/>
        <w:contextualSpacing/>
        <w:jc w:val="both"/>
        <w:rPr>
          <w:color w:val="000000" w:themeColor="text1"/>
        </w:rPr>
      </w:pPr>
      <w:r w:rsidRPr="00E11B50">
        <w:rPr>
          <w:color w:val="000000" w:themeColor="text1"/>
        </w:rPr>
        <w:t>Полномочия прокуроров</w:t>
      </w:r>
      <w:r w:rsidR="00AC1DF5">
        <w:rPr>
          <w:color w:val="000000" w:themeColor="text1"/>
        </w:rPr>
        <w:t>, реализуемые</w:t>
      </w:r>
      <w:r w:rsidRPr="00E11B50">
        <w:rPr>
          <w:color w:val="000000" w:themeColor="text1"/>
        </w:rPr>
        <w:t xml:space="preserve"> при осуществлении проверок, порядок проведения дальнейших действий, </w:t>
      </w:r>
      <w:r w:rsidR="00AC1DF5">
        <w:rPr>
          <w:color w:val="000000" w:themeColor="text1"/>
        </w:rPr>
        <w:t xml:space="preserve">а также </w:t>
      </w:r>
      <w:r w:rsidRPr="00E11B50">
        <w:rPr>
          <w:color w:val="000000" w:themeColor="text1"/>
        </w:rPr>
        <w:t>права проверяемых лиц закреплены в статье 8.2 Федерального закона «О противодействии коррупции».</w:t>
      </w:r>
    </w:p>
    <w:p w:rsidR="00E11B50" w:rsidRDefault="00E11B50" w:rsidP="0097374F">
      <w:pPr>
        <w:jc w:val="both"/>
      </w:pPr>
    </w:p>
    <w:p w:rsidR="0097374F" w:rsidRDefault="0097374F" w:rsidP="0097374F">
      <w:pPr>
        <w:jc w:val="both"/>
      </w:pPr>
      <w:r>
        <w:t xml:space="preserve">Пресс-служба </w:t>
      </w:r>
    </w:p>
    <w:p w:rsidR="0097374F" w:rsidRDefault="0097374F" w:rsidP="0097374F">
      <w:pPr>
        <w:jc w:val="both"/>
      </w:pPr>
      <w:r>
        <w:t xml:space="preserve">Прокуратуры </w:t>
      </w:r>
      <w:r w:rsidR="00E0722A">
        <w:t>г. Нижневартовска</w:t>
      </w:r>
    </w:p>
    <w:p w:rsidR="0079146D" w:rsidRDefault="0079146D" w:rsidP="0097374F">
      <w:pPr>
        <w:jc w:val="both"/>
        <w:rPr>
          <w:b/>
          <w:sz w:val="20"/>
          <w:szCs w:val="20"/>
        </w:rPr>
      </w:pPr>
    </w:p>
    <w:p w:rsidR="0097374F" w:rsidRDefault="0097374F" w:rsidP="0097374F">
      <w:pPr>
        <w:jc w:val="both"/>
        <w:rPr>
          <w:b/>
          <w:color w:val="000000"/>
          <w:sz w:val="20"/>
          <w:szCs w:val="20"/>
        </w:rPr>
      </w:pPr>
      <w:r>
        <w:rPr>
          <w:b/>
          <w:sz w:val="20"/>
          <w:szCs w:val="20"/>
        </w:rPr>
        <w:t xml:space="preserve">При использовании указанной информации </w:t>
      </w:r>
      <w:r>
        <w:rPr>
          <w:b/>
          <w:color w:val="000000"/>
          <w:sz w:val="20"/>
          <w:szCs w:val="20"/>
        </w:rPr>
        <w:t>ссылка на прокуратуру города Нижневартовска является обязательной. При освещении информации в теле-, радиоэфирах необходимо направлять эфирные справки (количество эфиров с учетом повторов) по адресу прокуратуры города: ХМАО-Югра, г. Нижневартовск, ул. Мусы Джалиля, д. 14, 628602</w:t>
      </w:r>
    </w:p>
    <w:p w:rsidR="0097374F" w:rsidRDefault="0097374F" w:rsidP="0097374F">
      <w:pPr>
        <w:spacing w:line="240" w:lineRule="exact"/>
        <w:jc w:val="both"/>
        <w:rPr>
          <w:b/>
          <w:color w:val="000000"/>
        </w:rPr>
      </w:pPr>
    </w:p>
    <w:p w:rsidR="00A87138" w:rsidRDefault="00A87138" w:rsidP="0097374F">
      <w:pPr>
        <w:spacing w:line="240" w:lineRule="exact"/>
        <w:jc w:val="both"/>
        <w:rPr>
          <w:b/>
          <w:color w:val="000000"/>
        </w:rPr>
      </w:pPr>
    </w:p>
    <w:p w:rsidR="0097374F" w:rsidRDefault="0097374F" w:rsidP="0097374F">
      <w:pPr>
        <w:spacing w:line="240" w:lineRule="exact"/>
        <w:jc w:val="both"/>
        <w:rPr>
          <w:b/>
          <w:color w:val="000000"/>
        </w:rPr>
      </w:pPr>
      <w:r>
        <w:rPr>
          <w:b/>
          <w:color w:val="000000"/>
        </w:rPr>
        <w:t>СОГЛАСОВАНО:</w:t>
      </w:r>
    </w:p>
    <w:p w:rsidR="0097374F" w:rsidRPr="00077F75" w:rsidRDefault="0097374F" w:rsidP="0097374F">
      <w:pPr>
        <w:spacing w:line="240" w:lineRule="exact"/>
        <w:jc w:val="both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 </w:t>
      </w:r>
    </w:p>
    <w:p w:rsidR="00BA6741" w:rsidRPr="00AC1DF5" w:rsidRDefault="00AB4CB7" w:rsidP="00AC1DF5">
      <w:pPr>
        <w:spacing w:line="240" w:lineRule="exact"/>
        <w:jc w:val="both"/>
        <w:rPr>
          <w:color w:val="000000"/>
        </w:rPr>
      </w:pPr>
      <w:r>
        <w:rPr>
          <w:color w:val="000000"/>
        </w:rPr>
        <w:t>И.о. п</w:t>
      </w:r>
      <w:r w:rsidR="0097374F">
        <w:rPr>
          <w:color w:val="000000"/>
        </w:rPr>
        <w:t>рокурор</w:t>
      </w:r>
      <w:r>
        <w:rPr>
          <w:color w:val="000000"/>
        </w:rPr>
        <w:t>а</w:t>
      </w:r>
      <w:r w:rsidR="0097374F">
        <w:rPr>
          <w:color w:val="000000"/>
        </w:rPr>
        <w:t xml:space="preserve"> города                                                   </w:t>
      </w:r>
      <w:r>
        <w:rPr>
          <w:color w:val="000000"/>
        </w:rPr>
        <w:t xml:space="preserve">                          Н.Н. Демянчук</w:t>
      </w:r>
    </w:p>
    <w:sectPr w:rsidR="00BA6741" w:rsidRPr="00AC1DF5" w:rsidSect="00D667DE">
      <w:pgSz w:w="11906" w:h="16838"/>
      <w:pgMar w:top="567" w:right="567" w:bottom="42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E903BC"/>
    <w:rsid w:val="000038A1"/>
    <w:rsid w:val="0001765B"/>
    <w:rsid w:val="0005372A"/>
    <w:rsid w:val="00061620"/>
    <w:rsid w:val="00077F75"/>
    <w:rsid w:val="00084863"/>
    <w:rsid w:val="00085A5C"/>
    <w:rsid w:val="0009154A"/>
    <w:rsid w:val="00091A59"/>
    <w:rsid w:val="000A418B"/>
    <w:rsid w:val="000A6AB1"/>
    <w:rsid w:val="000C564C"/>
    <w:rsid w:val="000F424A"/>
    <w:rsid w:val="00117129"/>
    <w:rsid w:val="00120A77"/>
    <w:rsid w:val="00142BB7"/>
    <w:rsid w:val="00162284"/>
    <w:rsid w:val="00174596"/>
    <w:rsid w:val="00181349"/>
    <w:rsid w:val="001857CA"/>
    <w:rsid w:val="001C3B80"/>
    <w:rsid w:val="001C5CB4"/>
    <w:rsid w:val="001E5673"/>
    <w:rsid w:val="001E711C"/>
    <w:rsid w:val="002008B6"/>
    <w:rsid w:val="00210BEF"/>
    <w:rsid w:val="00221194"/>
    <w:rsid w:val="002223C2"/>
    <w:rsid w:val="00225590"/>
    <w:rsid w:val="00235C29"/>
    <w:rsid w:val="002370F6"/>
    <w:rsid w:val="002565F8"/>
    <w:rsid w:val="002623F4"/>
    <w:rsid w:val="0027006E"/>
    <w:rsid w:val="00270B5E"/>
    <w:rsid w:val="00292BA1"/>
    <w:rsid w:val="002A1C77"/>
    <w:rsid w:val="002A5D4D"/>
    <w:rsid w:val="002B15FD"/>
    <w:rsid w:val="002D366B"/>
    <w:rsid w:val="002D3901"/>
    <w:rsid w:val="00304A65"/>
    <w:rsid w:val="00316254"/>
    <w:rsid w:val="003351A1"/>
    <w:rsid w:val="00353BD4"/>
    <w:rsid w:val="00370583"/>
    <w:rsid w:val="00382241"/>
    <w:rsid w:val="003D6784"/>
    <w:rsid w:val="004008C6"/>
    <w:rsid w:val="00403F69"/>
    <w:rsid w:val="004156B9"/>
    <w:rsid w:val="0043287C"/>
    <w:rsid w:val="00450206"/>
    <w:rsid w:val="00455054"/>
    <w:rsid w:val="00490289"/>
    <w:rsid w:val="004C423C"/>
    <w:rsid w:val="004D1F9A"/>
    <w:rsid w:val="004D64AB"/>
    <w:rsid w:val="004D7A51"/>
    <w:rsid w:val="004E011B"/>
    <w:rsid w:val="00523A93"/>
    <w:rsid w:val="0052758A"/>
    <w:rsid w:val="005C7ADF"/>
    <w:rsid w:val="005D28F3"/>
    <w:rsid w:val="005E3BE3"/>
    <w:rsid w:val="005E4CB8"/>
    <w:rsid w:val="00631AF4"/>
    <w:rsid w:val="0063505D"/>
    <w:rsid w:val="006560C1"/>
    <w:rsid w:val="00674726"/>
    <w:rsid w:val="00677B5A"/>
    <w:rsid w:val="00684E69"/>
    <w:rsid w:val="00684E75"/>
    <w:rsid w:val="006D67C6"/>
    <w:rsid w:val="006F3AAB"/>
    <w:rsid w:val="007001BA"/>
    <w:rsid w:val="007059B0"/>
    <w:rsid w:val="007101C9"/>
    <w:rsid w:val="00734130"/>
    <w:rsid w:val="00736EB4"/>
    <w:rsid w:val="00741FDD"/>
    <w:rsid w:val="00750C32"/>
    <w:rsid w:val="00755741"/>
    <w:rsid w:val="00771B43"/>
    <w:rsid w:val="00776C95"/>
    <w:rsid w:val="0079146D"/>
    <w:rsid w:val="007A1EA8"/>
    <w:rsid w:val="007B102E"/>
    <w:rsid w:val="007C55E6"/>
    <w:rsid w:val="007F396B"/>
    <w:rsid w:val="00800211"/>
    <w:rsid w:val="0080403E"/>
    <w:rsid w:val="00804454"/>
    <w:rsid w:val="00834A0A"/>
    <w:rsid w:val="00850789"/>
    <w:rsid w:val="008660DE"/>
    <w:rsid w:val="008979E1"/>
    <w:rsid w:val="008A4BF1"/>
    <w:rsid w:val="008B3312"/>
    <w:rsid w:val="00912921"/>
    <w:rsid w:val="00951C9E"/>
    <w:rsid w:val="00956E77"/>
    <w:rsid w:val="00963EDA"/>
    <w:rsid w:val="009673BE"/>
    <w:rsid w:val="0097374F"/>
    <w:rsid w:val="009D2987"/>
    <w:rsid w:val="009D3B59"/>
    <w:rsid w:val="009F39D3"/>
    <w:rsid w:val="00A1709C"/>
    <w:rsid w:val="00A21994"/>
    <w:rsid w:val="00A51AA1"/>
    <w:rsid w:val="00A6175C"/>
    <w:rsid w:val="00A67FD5"/>
    <w:rsid w:val="00A829F7"/>
    <w:rsid w:val="00A87138"/>
    <w:rsid w:val="00AB1453"/>
    <w:rsid w:val="00AB4CB7"/>
    <w:rsid w:val="00AC1362"/>
    <w:rsid w:val="00AC1DF5"/>
    <w:rsid w:val="00AC3A24"/>
    <w:rsid w:val="00AC50EA"/>
    <w:rsid w:val="00B06AC4"/>
    <w:rsid w:val="00B1184B"/>
    <w:rsid w:val="00B30288"/>
    <w:rsid w:val="00B73C5B"/>
    <w:rsid w:val="00B85B5B"/>
    <w:rsid w:val="00B90249"/>
    <w:rsid w:val="00BA2CFB"/>
    <w:rsid w:val="00BA6741"/>
    <w:rsid w:val="00BB7C6D"/>
    <w:rsid w:val="00BC0E44"/>
    <w:rsid w:val="00C70372"/>
    <w:rsid w:val="00C91D15"/>
    <w:rsid w:val="00CC1630"/>
    <w:rsid w:val="00CC2606"/>
    <w:rsid w:val="00CC2D96"/>
    <w:rsid w:val="00CE4E9B"/>
    <w:rsid w:val="00D21175"/>
    <w:rsid w:val="00D57129"/>
    <w:rsid w:val="00D667DE"/>
    <w:rsid w:val="00D9438B"/>
    <w:rsid w:val="00D95953"/>
    <w:rsid w:val="00D95FDD"/>
    <w:rsid w:val="00DF2402"/>
    <w:rsid w:val="00E040B2"/>
    <w:rsid w:val="00E0722A"/>
    <w:rsid w:val="00E11B50"/>
    <w:rsid w:val="00E1362E"/>
    <w:rsid w:val="00E15320"/>
    <w:rsid w:val="00E17769"/>
    <w:rsid w:val="00E26A1D"/>
    <w:rsid w:val="00E31268"/>
    <w:rsid w:val="00E36A14"/>
    <w:rsid w:val="00E52447"/>
    <w:rsid w:val="00E76D9E"/>
    <w:rsid w:val="00E82932"/>
    <w:rsid w:val="00E903BC"/>
    <w:rsid w:val="00E92523"/>
    <w:rsid w:val="00E925DC"/>
    <w:rsid w:val="00EB6531"/>
    <w:rsid w:val="00EC3D4A"/>
    <w:rsid w:val="00ED2DF2"/>
    <w:rsid w:val="00F42458"/>
    <w:rsid w:val="00F468A1"/>
    <w:rsid w:val="00F51B34"/>
    <w:rsid w:val="00F8151D"/>
    <w:rsid w:val="00F924F2"/>
    <w:rsid w:val="00FA357B"/>
    <w:rsid w:val="00FA51BB"/>
    <w:rsid w:val="00FD17C2"/>
    <w:rsid w:val="00FD25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3BC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link w:val="10"/>
    <w:uiPriority w:val="99"/>
    <w:qFormat/>
    <w:rsid w:val="00403F6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03F69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ody Text Indent"/>
    <w:basedOn w:val="a"/>
    <w:link w:val="a4"/>
    <w:uiPriority w:val="99"/>
    <w:rsid w:val="00E903BC"/>
    <w:pPr>
      <w:ind w:firstLine="709"/>
      <w:jc w:val="both"/>
    </w:pPr>
    <w:rPr>
      <w:szCs w:val="20"/>
    </w:rPr>
  </w:style>
  <w:style w:type="character" w:customStyle="1" w:styleId="a4">
    <w:name w:val="Основной текст с отступом Знак"/>
    <w:link w:val="a3"/>
    <w:uiPriority w:val="99"/>
    <w:locked/>
    <w:rsid w:val="00E903BC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99"/>
    <w:qFormat/>
    <w:rsid w:val="00E903BC"/>
    <w:rPr>
      <w:rFonts w:eastAsia="Times New Roman"/>
      <w:sz w:val="22"/>
      <w:szCs w:val="22"/>
    </w:rPr>
  </w:style>
  <w:style w:type="paragraph" w:styleId="a6">
    <w:name w:val="Balloon Text"/>
    <w:basedOn w:val="a"/>
    <w:link w:val="a7"/>
    <w:uiPriority w:val="99"/>
    <w:semiHidden/>
    <w:rsid w:val="00750C3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locked/>
    <w:rsid w:val="00750C32"/>
    <w:rPr>
      <w:rFonts w:ascii="Segoe UI" w:hAnsi="Segoe UI" w:cs="Segoe UI"/>
      <w:sz w:val="18"/>
      <w:szCs w:val="18"/>
      <w:lang w:eastAsia="ru-RU"/>
    </w:rPr>
  </w:style>
  <w:style w:type="paragraph" w:styleId="a8">
    <w:name w:val="Normal (Web)"/>
    <w:basedOn w:val="a"/>
    <w:uiPriority w:val="99"/>
    <w:rsid w:val="0027006E"/>
    <w:pPr>
      <w:spacing w:before="100" w:beforeAutospacing="1" w:after="100" w:afterAutospacing="1"/>
    </w:pPr>
    <w:rPr>
      <w:sz w:val="24"/>
      <w:szCs w:val="24"/>
    </w:rPr>
  </w:style>
  <w:style w:type="table" w:styleId="a9">
    <w:name w:val="Table Grid"/>
    <w:basedOn w:val="a1"/>
    <w:uiPriority w:val="99"/>
    <w:rsid w:val="003D67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semiHidden/>
    <w:rsid w:val="00403F69"/>
    <w:rPr>
      <w:rFonts w:cs="Times New Roman"/>
      <w:color w:val="0000FF"/>
      <w:u w:val="single"/>
    </w:rPr>
  </w:style>
  <w:style w:type="paragraph" w:styleId="3">
    <w:name w:val="Body Text 3"/>
    <w:basedOn w:val="a"/>
    <w:link w:val="30"/>
    <w:uiPriority w:val="99"/>
    <w:rsid w:val="00E1362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locked/>
    <w:rsid w:val="00E1362E"/>
    <w:rPr>
      <w:rFonts w:eastAsia="Times New Roman" w:cs="Times New Roman"/>
      <w:sz w:val="16"/>
      <w:szCs w:val="16"/>
      <w:lang w:val="ru-RU" w:eastAsia="ru-RU" w:bidi="ar-SA"/>
    </w:rPr>
  </w:style>
  <w:style w:type="character" w:customStyle="1" w:styleId="ab">
    <w:name w:val="Основной текст_"/>
    <w:link w:val="2"/>
    <w:uiPriority w:val="99"/>
    <w:locked/>
    <w:rsid w:val="00956E77"/>
    <w:rPr>
      <w:rFonts w:ascii="Sylfaen" w:hAnsi="Sylfaen"/>
      <w:sz w:val="25"/>
    </w:rPr>
  </w:style>
  <w:style w:type="paragraph" w:customStyle="1" w:styleId="2">
    <w:name w:val="Основной текст2"/>
    <w:basedOn w:val="a"/>
    <w:link w:val="ab"/>
    <w:uiPriority w:val="99"/>
    <w:rsid w:val="00956E77"/>
    <w:pPr>
      <w:shd w:val="clear" w:color="auto" w:fill="FFFFFF"/>
      <w:spacing w:line="245" w:lineRule="exact"/>
    </w:pPr>
    <w:rPr>
      <w:rFonts w:ascii="Sylfaen" w:eastAsia="Calibri" w:hAnsi="Sylfaen"/>
      <w:sz w:val="25"/>
      <w:szCs w:val="20"/>
    </w:rPr>
  </w:style>
  <w:style w:type="character" w:customStyle="1" w:styleId="feeds-pagenavigationicon">
    <w:name w:val="feeds-page__navigation_icon"/>
    <w:basedOn w:val="a0"/>
    <w:rsid w:val="001E711C"/>
  </w:style>
  <w:style w:type="character" w:customStyle="1" w:styleId="feeds-pagenavigationtooltip">
    <w:name w:val="feeds-page__navigation_tooltip"/>
    <w:basedOn w:val="a0"/>
    <w:rsid w:val="001E711C"/>
  </w:style>
  <w:style w:type="character" w:styleId="ac">
    <w:name w:val="Strong"/>
    <w:basedOn w:val="a0"/>
    <w:uiPriority w:val="22"/>
    <w:qFormat/>
    <w:locked/>
    <w:rsid w:val="001E711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0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87942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576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9883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692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67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87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53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70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539193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38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40866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71354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69434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916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17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68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02969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607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24497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69563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90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66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71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7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2377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330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465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7818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12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17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60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08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45042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6711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6176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06916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60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04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02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08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063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7376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60449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10355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91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80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58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31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8955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832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1753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33448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5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49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56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3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145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5525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935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37149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0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7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07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51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9140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187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8867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84169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40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8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82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64789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624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4807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7568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15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88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35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66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9376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78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19561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28402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40022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405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83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04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0617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5598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82703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08110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47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05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34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6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66072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732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199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04010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48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8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5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637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687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5184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0357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73744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30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72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25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68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76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26027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68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689750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78222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12143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495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28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70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1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127097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67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773984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43182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98779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814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91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09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1238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663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43839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70461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4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51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67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7103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03962">
          <w:marLeft w:val="0"/>
          <w:marRight w:val="0"/>
          <w:marTop w:val="15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103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35579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548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95147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02531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13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00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23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81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0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bikmgr</dc:creator>
  <cp:lastModifiedBy>пк4</cp:lastModifiedBy>
  <cp:revision>2</cp:revision>
  <cp:lastPrinted>2024-05-27T09:25:00Z</cp:lastPrinted>
  <dcterms:created xsi:type="dcterms:W3CDTF">2024-12-02T08:08:00Z</dcterms:created>
  <dcterms:modified xsi:type="dcterms:W3CDTF">2024-12-02T08:08:00Z</dcterms:modified>
</cp:coreProperties>
</file>